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278943ba499ce3663a14634275350dce5c25f"/>
    <w:p>
      <w:pPr>
        <w:pStyle w:val="Heading3"/>
      </w:pPr>
      <w:r>
        <w:t xml:space="preserve">Департамент городского имущества оплатит капитальный ремонт общего имущества в многоквартирных домах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t xml:space="preserve">C 1 июля 2015 года в городе Москве введена плата за капитальный ремонт общего имущества в многоквартирных домах. Оплату взносов на капитальный ремонт за помещения, находящиеся в собственности города Москвы, будет осуществлять Департамент городского имущества.</w:t>
      </w:r>
    </w:p>
    <w:p>
      <w:pPr>
        <w:pStyle w:val="BodyText"/>
      </w:pPr>
      <w:r>
        <w:t xml:space="preserve">В сроки, установленные для направления платежных документов для внесения платы за жилое помещение и коммунальные услуги,</w:t>
      </w:r>
      <w:r>
        <w:t xml:space="preserve"> </w:t>
      </w:r>
      <w:r>
        <w:rPr>
          <w:bCs/>
          <w:b/>
        </w:rPr>
        <w:t xml:space="preserve">управляющие организации направляют в Департамент счета в</w:t>
      </w:r>
      <w:r>
        <w:t xml:space="preserve"> </w:t>
      </w:r>
      <w:r>
        <w:t xml:space="preserve">размере суммы взносов на капитальный ремонт в отношении каждого многоквартирного дома, собственники помещений которых формируют фонды капитального ремонта на специальных счетах, владельцами которых являются управляющие организации.</w:t>
      </w:r>
    </w:p>
    <w:p>
      <w:pPr>
        <w:pStyle w:val="BodyText"/>
      </w:pPr>
      <w:r>
        <w:t xml:space="preserve">Обращаем Ваше внимание, что счета для оплаты направляются управляющими организациями вместе</w:t>
      </w:r>
      <w:r>
        <w:t xml:space="preserve"> </w:t>
      </w:r>
      <w:r>
        <w:rPr>
          <w:bCs/>
          <w:b/>
        </w:rPr>
        <w:t xml:space="preserve">с сопроводительным письмом (</w:t>
      </w:r>
      <w:hyperlink r:id="rId20">
        <w:r>
          <w:rPr>
            <w:rStyle w:val="Hyperlink"/>
          </w:rPr>
          <w:t xml:space="preserve">образец</w:t>
        </w:r>
      </w:hyperlink>
      <w:r>
        <w:rPr>
          <w:bCs/>
          <w:b/>
        </w:rPr>
        <w:t xml:space="preserve">)</w:t>
      </w:r>
      <w:r>
        <w:t xml:space="preserve"> </w:t>
      </w:r>
      <w:r>
        <w:t xml:space="preserve">в Департамент по почтовому адресу: 115054, Москва, ул. Бахрушина, д. 20, либо по следующим адресам подразделений Департамента: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Округ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Режим работы</w:t>
            </w:r>
          </w:p>
        </w:tc>
        <w:tc>
          <w:tcPr/>
          <w:p>
            <w:pPr>
              <w:jc w:val="left"/>
            </w:pPr>
            <w:r>
              <w:t xml:space="preserve">Ближайшие станции метро, расстояние до здания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115054, г. Москва, ул. Бахрушина, 20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jc w:val="left"/>
            </w:pPr>
            <w:r>
              <w:t xml:space="preserve">Павелецкая, 280 м</w:t>
            </w:r>
          </w:p>
        </w:tc>
      </w:tr>
      <w:tr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121108, г. Москва, ул. Ивана Франко, 8, к. 2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Кунцевская, 300 м</w:t>
            </w:r>
          </w:p>
          <w:p>
            <w:pPr>
              <w:pStyle w:val="Compact"/>
              <w:jc w:val="left"/>
            </w:pPr>
            <w:r>
              <w:t xml:space="preserve">Кунцевская, 360 м</w:t>
            </w:r>
          </w:p>
          <w:p>
            <w:pPr>
              <w:pStyle w:val="Compact"/>
              <w:jc w:val="left"/>
            </w:pPr>
            <w:r>
              <w:t xml:space="preserve">Пионерская, 1,4 км</w:t>
            </w:r>
          </w:p>
        </w:tc>
      </w:tr>
      <w:tr>
        <w:tc>
          <w:tcPr/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111024, г. Москва, ш. Энтузиастов, д. 11А, к. 4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Авиамоторная, 170 м</w:t>
            </w:r>
          </w:p>
          <w:p>
            <w:pPr>
              <w:pStyle w:val="Compact"/>
              <w:jc w:val="left"/>
            </w:pPr>
            <w:r>
              <w:t xml:space="preserve">Римская, 2,2 км</w:t>
            </w:r>
          </w:p>
          <w:p>
            <w:pPr>
              <w:pStyle w:val="Compact"/>
              <w:jc w:val="left"/>
            </w:pPr>
            <w:r>
              <w:t xml:space="preserve">Площадь Ильича, 2,2 км</w:t>
            </w:r>
          </w:p>
        </w:tc>
      </w:tr>
      <w:tr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125167, г. Москва, ул. Викторенко, д. 4/1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Аэропорт, 300 м</w:t>
            </w:r>
          </w:p>
          <w:p>
            <w:pPr>
              <w:pStyle w:val="Compact"/>
              <w:jc w:val="left"/>
            </w:pPr>
            <w:r>
              <w:t xml:space="preserve">Сокол, 1,1 км</w:t>
            </w:r>
          </w:p>
          <w:p>
            <w:pPr>
              <w:pStyle w:val="Compact"/>
              <w:jc w:val="left"/>
            </w:pPr>
            <w:r>
              <w:t xml:space="preserve">Динамо, 2,2 км</w:t>
            </w:r>
          </w:p>
        </w:tc>
      </w:tr>
      <w:tr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109280, г. Москва, ул. Автозаводская, д. 10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Автозаводская, 200 м</w:t>
            </w:r>
          </w:p>
          <w:p>
            <w:pPr>
              <w:pStyle w:val="Compact"/>
              <w:jc w:val="left"/>
            </w:pPr>
            <w:r>
              <w:t xml:space="preserve">Дубровка, 1,9 км</w:t>
            </w:r>
          </w:p>
          <w:p>
            <w:pPr>
              <w:pStyle w:val="Compact"/>
              <w:jc w:val="left"/>
            </w:pPr>
            <w:r>
              <w:t xml:space="preserve">Кожуховская, 2,0 км</w:t>
            </w:r>
          </w:p>
        </w:tc>
      </w:tr>
      <w:tr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117218, г. Москва, ул. Кржижановского, д. 20/30, корп. 5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Профсоюзная, 620 м</w:t>
            </w:r>
          </w:p>
          <w:p>
            <w:pPr>
              <w:pStyle w:val="Compact"/>
              <w:jc w:val="left"/>
            </w:pPr>
            <w:r>
              <w:t xml:space="preserve">Академическая, 1,1 км</w:t>
            </w:r>
          </w:p>
          <w:p>
            <w:pPr>
              <w:pStyle w:val="Compact"/>
              <w:jc w:val="left"/>
            </w:pPr>
            <w:r>
              <w:t xml:space="preserve">Новые Черёмушки, 1,4 км</w:t>
            </w:r>
          </w:p>
        </w:tc>
      </w:tr>
      <w:tr>
        <w:tc>
          <w:tcPr/>
          <w:p>
            <w:pPr>
              <w:jc w:val="left"/>
            </w:pPr>
            <w: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127322, г. Москва, ул. Руставели, д. 12/7, корп. Б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jc w:val="left"/>
            </w:pPr>
            <w:r>
              <w:t xml:space="preserve">Дмитровская, 1,7 км</w:t>
            </w:r>
          </w:p>
        </w:tc>
      </w:tr>
      <w:tr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101014, г. Москва, ул. Стромынка, д. 3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Сокольники, 290 м</w:t>
            </w:r>
          </w:p>
          <w:p>
            <w:pPr>
              <w:pStyle w:val="Compact"/>
              <w:jc w:val="left"/>
            </w:pPr>
            <w:r>
              <w:t xml:space="preserve">Красносельская, 1,6 км</w:t>
            </w:r>
          </w:p>
          <w:p>
            <w:pPr>
              <w:pStyle w:val="Compact"/>
              <w:jc w:val="left"/>
            </w:pPr>
            <w:r>
              <w:t xml:space="preserve">Электрозаводская, 1,7 км</w:t>
            </w:r>
          </w:p>
        </w:tc>
      </w:tr>
      <w:tr>
        <w:tc>
          <w:tcPr/>
          <w:p>
            <w:pPr>
              <w:jc w:val="left"/>
            </w:pPr>
            <w: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123585, г. Москва, ул. Народного Ополчения, д. 33, корп. 2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Октябрьское Поле, 1,2 км</w:t>
            </w:r>
          </w:p>
          <w:p>
            <w:pPr>
              <w:pStyle w:val="Compact"/>
              <w:jc w:val="left"/>
            </w:pPr>
            <w:r>
              <w:t xml:space="preserve">Полежаевская, 2,5 км</w:t>
            </w:r>
          </w:p>
          <w:p>
            <w:pPr>
              <w:pStyle w:val="Compact"/>
              <w:jc w:val="left"/>
            </w:pPr>
            <w:r>
              <w:t xml:space="preserve">Щукинская, 2,8 км</w:t>
            </w:r>
          </w:p>
        </w:tc>
      </w:tr>
      <w:tr>
        <w:tc>
          <w:tcPr/>
          <w:p>
            <w:pPr>
              <w:jc w:val="left"/>
            </w:pPr>
            <w: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124482, г. Москва, г. Зеленоград, Центральный пр-т, д. 1, каб. 225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ТАО</w:t>
            </w:r>
          </w:p>
        </w:tc>
        <w:tc>
          <w:tcPr/>
          <w:p>
            <w:pPr>
              <w:jc w:val="left"/>
            </w:pPr>
            <w:r>
              <w:t xml:space="preserve">г. Москва, г. Троицк, Микрорайон Сосны, д.4</w:t>
            </w:r>
          </w:p>
        </w:tc>
        <w:tc>
          <w:tcPr/>
          <w:p>
            <w:pPr>
              <w:jc w:val="left"/>
            </w:pPr>
            <w:r>
              <w:t xml:space="preserve">Пн-Пт 08:00–17:00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10 календарных дней</w:t>
      </w:r>
      <w:r>
        <w:t xml:space="preserve"> </w:t>
      </w:r>
      <w:r>
        <w:t xml:space="preserve">после получения каждого из счетов Департамент:</w:t>
      </w:r>
    </w:p>
    <w:p>
      <w:pPr>
        <w:pStyle w:val="BodyText"/>
      </w:pPr>
      <w:r>
        <w:t xml:space="preserve">а) проверяет реквизиты специальных счетов;</w:t>
      </w:r>
    </w:p>
    <w:p>
      <w:pPr>
        <w:pStyle w:val="BodyText"/>
      </w:pPr>
      <w:r>
        <w:t xml:space="preserve">б) проверяет правильность произведенных расчетов. По результатам проверки Департамент самостоятельно уточняет суммы, подлежащие уплате по каждому из счетов;</w:t>
      </w:r>
    </w:p>
    <w:p>
      <w:pPr>
        <w:pStyle w:val="BodyText"/>
      </w:pPr>
      <w:r>
        <w:t xml:space="preserve">в) перечисляет по платежным реквизитам, указанным в каждом из счетов, взносы на капитальный ремонт в размере уточненной Департаментом суммы взносов.</w:t>
      </w:r>
    </w:p>
    <w:p>
      <w:pPr>
        <w:pStyle w:val="BodyText"/>
      </w:pPr>
      <w:r>
        <w:t xml:space="preserve">Ежеквартально между Департаментом и управляющими организациями будет производится сверка расчетов по начисленным и уплаченным взносам на капитальный ремонт. Сумма, излишне уплаченная Департаментом, засчитывается в счет предстоящих платежей в очередном периоде оплаты. В случае задолженности Департамента сумма будет внесена очередном периоде оплаты.</w:t>
      </w:r>
    </w:p>
    <w:p>
      <w:pPr>
        <w:pStyle w:val="BodyText"/>
      </w:pPr>
      <w:r>
        <w:rPr>
          <w:bCs/>
          <w:b/>
        </w:rPr>
        <w:t xml:space="preserve">По вопросам сверки расчетов</w:t>
      </w:r>
      <w:r>
        <w:t xml:space="preserve"> </w:t>
      </w:r>
      <w:r>
        <w:t xml:space="preserve">по начисленным и уплаченным взносам на капитальный ремонт общего имущества в многоквартирных домах необходимо обращаться</w:t>
      </w:r>
      <w:r>
        <w:t xml:space="preserve"> </w:t>
      </w:r>
      <w:r>
        <w:rPr>
          <w:bCs/>
          <w:b/>
        </w:rPr>
        <w:t xml:space="preserve">в Управление экономики Департамента по адресу: 127051, г. Москва, ул. Петровка, д. 26, стр. 3, окно № 5.</w:t>
      </w:r>
    </w:p>
    <w:p>
      <w:pPr>
        <w:pStyle w:val="BodyText"/>
      </w:pPr>
      <w:r>
        <w:t xml:space="preserve">Также</w:t>
      </w:r>
      <w:r>
        <w:t xml:space="preserve"> </w:t>
      </w:r>
      <w:r>
        <w:rPr>
          <w:bCs/>
          <w:b/>
        </w:rPr>
        <w:t xml:space="preserve">Департамент ведет работу по автоматизации процесса обработки счетов, что даст возможность предоставлять их в электронном виде. О данных изменениях по оформлению счетов будет сообщено отдельно на официальном сайте Департамента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http://molzhaninovskiy.mos.ru/overhaul/detail/2049342.html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gi.mos.ru/%D0%9E%D0%B1%D1%80%D0%B0%D0%B7%D0%B5%D1%86%20%D0%BA%D0%B0%D0%BF%D1%80%D0%B5%D0%BC%D0%BE%D0%BD%D1%82.docx" TargetMode="Externa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overhaul/detail/2049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gi.mos.ru/%D0%9E%D0%B1%D1%80%D0%B0%D0%B7%D0%B5%D1%86%20%D0%BA%D0%B0%D0%BF%D1%80%D0%B5%D0%BC%D0%BE%D0%BD%D1%82.docx" TargetMode="Externa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overhaul/detail/2049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2025-03-01T00:46:41Z</dcterms:created>
  <dcterms:modified xsi:type="dcterms:W3CDTF">2025-03-01T00:46:41Z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