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b3c6d30c264d9f2f84c11cbdd8103f1177029"/>
    <w:p>
      <w:pPr>
        <w:pStyle w:val="Heading3"/>
      </w:pPr>
      <w:r>
        <w:t xml:space="preserve">Ответственность за массовое распространение экстремистских материалов</w:t>
      </w:r>
    </w:p>
    <w:p>
      <w:pPr>
        <w:pStyle w:val="FirstParagraph"/>
      </w:pPr>
      <w:r>
        <w:t xml:space="preserve">28.09.2022</w:t>
      </w:r>
    </w:p>
    <w:p>
      <w:pPr>
        <w:pStyle w:val="BodyText"/>
      </w:pPr>
      <w:r>
        <w:t xml:space="preserve">Массовое распространение экстремистских материалов, включенных в опубликованный федеральный список экстремистских материалов, образует состав административного правонарушения, предусмотренного ст. 20.29 Кодекса Российской Федерации об административных правонарушениях.</w:t>
      </w:r>
    </w:p>
    <w:p>
      <w:pPr>
        <w:pStyle w:val="BodyText"/>
      </w:pPr>
      <w:r>
        <w:t xml:space="preserve">Статьей 28.4 Кодекса Российской Федерации об административных правонарушениях установлено, что правом на возбуждение дела об административном правонарушении, предусмотренном ст. 20.29 КоАП РФ, обладает прокурор.</w:t>
      </w:r>
    </w:p>
    <w:p>
      <w:pPr>
        <w:pStyle w:val="BodyText"/>
      </w:pPr>
      <w:r>
        <w:t xml:space="preserve">Административные дела данной категории рассматриваются судами общей юрисдикции по месту совершения правонарушения, срок давности привлечения к административной ответственности составляет 3 месяца</w:t>
      </w:r>
      <w:r>
        <w:br/>
      </w:r>
      <w:r>
        <w:t xml:space="preserve">с момента выявления правонарушения.</w:t>
      </w:r>
    </w:p>
    <w:p>
      <w:pPr>
        <w:pStyle w:val="BodyText"/>
      </w:pPr>
      <w:r>
        <w:t xml:space="preserve">Совершение такого правонарушения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оборудования, использованного для их производства; на должностных лиц - от двух тысяч до пяти тысяч рублей с конфискацией указанных материалов и оборудования, использованного для их производства; на юридических лиц -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оборудования, использованного для их производства.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http://molzhaninovskiy.mos.ru/security/prosecutors/detail/11075066.html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1075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1075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2024-06-22T11:41:46Z</dcterms:created>
  <dcterms:modified xsi:type="dcterms:W3CDTF">2024-06-22T11:41:46Z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