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cc94db9824354c64644a15f6e46ba8baedad5f"/>
    <w:p>
      <w:pPr>
        <w:pStyle w:val="Heading3"/>
      </w:pPr>
      <w:r>
        <w:t xml:space="preserve">Уголовная ответственность за финансирование терроризма.</w:t>
      </w:r>
    </w:p>
    <w:p>
      <w:pPr>
        <w:pStyle w:val="FirstParagraph"/>
      </w:pPr>
      <w:r>
        <w:t xml:space="preserve">16.10.2024</w:t>
      </w:r>
    </w:p>
    <w:p>
      <w:pPr>
        <w:pStyle w:val="BodyText"/>
      </w:pPr>
      <w:r>
        <w:t xml:space="preserve">Частью 1.1 статьи 205.1 Уголовного кодекса РФ предусмотрена уголовная ответственность за финансирование терроризма.</w:t>
      </w:r>
      <w:r>
        <w:br/>
      </w:r>
      <w:r>
        <w:t xml:space="preserve">Санкция статьи предусматривает наказание в виде лишения свободы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r>
        <w:br/>
      </w:r>
      <w:r>
        <w:t xml:space="preserve">Частью 2 названной статьи предусмотрена ответственность за финансирование терроризма, совершенное с использованием своего служебного положения.</w:t>
      </w:r>
      <w:r>
        <w:br/>
      </w:r>
      <w:r>
        <w:t xml:space="preserve">Согласно примечания к статье 105.1 Уголовного кодекса РФ под финансированием терроризма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Уголовного кодекса РФ,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r>
        <w:br/>
      </w:r>
      <w:r>
        <w:t xml:space="preserve">Также согласно примечания к данной норме закона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способом способствовало предотвращению либо пресечению преступления, которое оно финансировало и (или) совершению которого содействовало, если в его действиях не содержится иного состава преступления.</w:t>
      </w:r>
      <w:r>
        <w:br/>
      </w:r>
      <w:r>
        <w:t xml:space="preserve">В соответствии с постановлением Пленума Верховного Суда Российской Федерации от 9 февраля 2012 № 1 «О некоторых вопросах судебной практики по уголовным делам о преступлениях террористической направленности» под финансированием терроризма следует признавать, наряду с оказанием финансовых услуг, предоставление или сбор не только денежных средств (в наличной или безналичной форме), но и материальных средств (например, предметов обмундирования, экипировки, средств связи, лекарственных препаратов, жилых либо нежилых помещений, транспортных средств) с осознанием того, что они предназначены для финансирования организации, подготовки или совершения хотя бы одного из преступлений террористического характера указанных выше,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(например, систематические отчисления или разовый взнос в общую кассу, приобретение недвижимости или оплата стоимости аренды, предоставление денежных средств, предназначенных для подкупа должностных лиц).  </w:t>
      </w:r>
      <w:r>
        <w:br/>
      </w:r>
      <w:r>
        <w:t xml:space="preserve">Ответственность за данное противоправное деяние наступает с 16-летнего возраста.</w:t>
      </w:r>
      <w:r>
        <w:br/>
      </w:r>
    </w:p>
    <w:p>
      <w:pPr>
        <w:pStyle w:val="BodyText"/>
      </w:pPr>
      <w:r>
        <w:br/>
      </w:r>
    </w:p>
    <w:p>
      <w:pPr>
        <w:pStyle w:val="BodyText"/>
      </w:pPr>
      <w:r>
        <w:t xml:space="preserve">Адрес страницы:</w:t>
      </w:r>
      <w:r>
        <w:t xml:space="preserve"> </w:t>
      </w:r>
      <w:hyperlink r:id="rId20">
        <w:r>
          <w:rPr>
            <w:rStyle w:val="Hyperlink"/>
          </w:rPr>
          <w:t xml:space="preserve">http://molzhaninovskiy.mos.ru/security/prosecutors/detail/12615123.html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security/prosecutors/detail/126151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security/prosecutors/detail/126151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2025-01-17T01:43:48Z</dcterms:created>
  <dcterms:modified xsi:type="dcterms:W3CDTF">2025-01-17T01:43:48Z</dcterms:modified>
</cp:coreProperties>
</file>

<file path=docProps/custom.xml><?xml version="1.0" encoding="utf-8"?>
<Properties xmlns="http://schemas.openxmlformats.org/officeDocument/2006/custom-properties" xmlns:vt="http://schemas.openxmlformats.org/officeDocument/2006/docPropsVTypes"/>
</file>