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рокуратура-разъясняет"/>
    <w:p>
      <w:pPr>
        <w:pStyle w:val="Heading3"/>
      </w:pPr>
      <w:r>
        <w:t xml:space="preserve">ПРОКУРАТУРА РАЗЪЯСНЯЕТ</w:t>
      </w:r>
    </w:p>
    <w:p>
      <w:pPr>
        <w:pStyle w:val="FirstParagraph"/>
      </w:pPr>
      <w:r>
        <w:t xml:space="preserve">11.02.2020</w:t>
      </w:r>
    </w:p>
    <w:p>
      <w:pPr>
        <w:pStyle w:val="BodyText"/>
      </w:pPr>
      <w:r>
        <w:t xml:space="preserve">С 01 января 2020 года Кодекс Российской Федерации об административных правонарушениях дополнен статьей 20.35 устанавливающей административную ответственность за несоблюдение условий антитеррористической безопасности объектов.</w:t>
      </w:r>
    </w:p>
    <w:p>
      <w:pPr>
        <w:pStyle w:val="BodyText"/>
      </w:pPr>
      <w:r>
        <w:t xml:space="preserve">Положения статьи 20.35 Кодекса Российской Федерации об административных правонарушениях устанавливают ответственность в виде штрафов за несоблюдение правил антитеррористической безопасности и создание препятствий работе сотрудников, отвечающих за исполнение этих правил.</w:t>
      </w:r>
    </w:p>
    <w:p>
      <w:pPr>
        <w:pStyle w:val="BodyText"/>
      </w:pPr>
      <w:r>
        <w:t xml:space="preserve">В соответствии с антитеррористическим законодательством Правительством Российской Федерации установлены требования к антитеррористической защищенности объектов, выполнение которых обязательно для организаций, всех видов собственности и предусматривают комплекс организационных, инженерно-технических, правовых и иных мер, обязательных для выполнения в целях обеспечения антитеррористической защищенности. Они дифференцированы для различных категорий объектов с учетом потенциальной опасности и степени угрозы совершения террористического акта и на таких объектах, их значимости для инфраструктуры и жизнеобеспечения, а также возможных последствий совершения теракта.</w:t>
      </w:r>
    </w:p>
    <w:p>
      <w:pPr>
        <w:pStyle w:val="BodyText"/>
      </w:pPr>
      <w:r>
        <w:t xml:space="preserve">Наказание за данное правонарушение – административный штраф:</w:t>
      </w:r>
    </w:p>
    <w:p>
      <w:pPr>
        <w:pStyle w:val="BodyText"/>
      </w:pPr>
      <w:r>
        <w:t xml:space="preserve">на граждан- от трех тысяч до пяти тысяч рублей;</w:t>
      </w:r>
    </w:p>
    <w:p>
      <w:pPr>
        <w:pStyle w:val="BodyText"/>
      </w:pPr>
      <w:r>
        <w:t xml:space="preserve">на должностных лиц - от тридцати тысяч до пятидесяти тысяч рублей или дисквалификацию на срок от шести месяцев до трех лет</w:t>
      </w:r>
    </w:p>
    <w:p>
      <w:pPr>
        <w:pStyle w:val="BodyText"/>
      </w:pPr>
      <w:r>
        <w:t xml:space="preserve">на юридических лиц - от ста тысяч до пятисот тысяч рублей.</w:t>
      </w:r>
    </w:p>
    <w:p>
      <w:pPr>
        <w:pStyle w:val="BodyText"/>
      </w:pPr>
      <w:r>
        <w:t xml:space="preserve">Дела об административных правонарушениях, предусмотренных названной статьей, носятся к подведомственности судей.</w:t>
      </w:r>
    </w:p>
    <w:p>
      <w:pPr>
        <w:pStyle w:val="BodyText"/>
      </w:pPr>
      <w:r>
        <w:rPr>
          <w:bCs/>
          <w:b/>
        </w:rPr>
        <w:t xml:space="preserve">Прокурор округа</w:t>
      </w:r>
    </w:p>
    <w:p>
      <w:pPr>
        <w:pStyle w:val="BodyText"/>
      </w:pPr>
      <w:r>
        <w:rPr>
          <w:bCs/>
          <w:b/>
        </w:rPr>
        <w:t xml:space="preserve">В.В.Лукьянов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http://molzhaninovskiy.mos.ru/security/prosecutors/detail/8683077.html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security/prosecutors/detail/86830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security/prosecutors/detail/86830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2024-08-13T15:17:08Z</dcterms:created>
  <dcterms:modified xsi:type="dcterms:W3CDTF">2024-08-13T15:17:08Z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