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726a4cefbc914b86c3986d7238132fb421b32"/>
    <w:p>
      <w:pPr>
        <w:pStyle w:val="Heading3"/>
      </w:pPr>
      <w:r>
        <w:t xml:space="preserve">В Молжаниновском районе прошла мемориально-патронатная акция, посвященная празднованию 77-ой годовщины начала контрнаступления в битве под Москвой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  <w:r>
        <w:t xml:space="preserve">В рамках подготовки к празднованию 77-ой годовщины начала контрнаступления в битве под Москвой в Молжаниновском районе проведена акция по благоустройству памятника воинам, погибшим в годы Великой Отечественной войны.</w:t>
      </w:r>
    </w:p>
    <w:p>
      <w:pPr>
        <w:pStyle w:val="BodyText"/>
      </w:pPr>
      <w:r>
        <w:t xml:space="preserve">Акция прошла 29 ноября 2018 года в деревне Молжаниновка. Участники привели в порядок обелиск воинам, погибшим в годы Великой Отечественной войны 1941-1945 гг. по адресу Ленинградское ш., 258.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http://molzhaninovskiy.mos.ru/towards-victory/detail/7743463.html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towards-victory/detail/7743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towards-victory/detail/7743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2023-09-26T20:22:38Z</dcterms:created>
  <dcterms:modified xsi:type="dcterms:W3CDTF">2023-09-26T20:22:38Z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