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98aac1e50bea1bebdadd8d2cc3fe003021b24"/>
    <w:p>
      <w:pPr>
        <w:pStyle w:val="Heading3"/>
      </w:pPr>
      <w:r>
        <w:t xml:space="preserve">В Молжаниновском районе проведены работы по ремонту дома, в котором проживает инвалид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r>
        <w:t xml:space="preserve">Ремонт для инвалидов проводится ежегодно в рамках Государственной программы города Москвы «Социальная поддержка жителей города Москвы». Ремонту подлежат входные группы жилых домов инвалидов-жителей района.</w:t>
      </w:r>
    </w:p>
    <w:p>
      <w:pPr>
        <w:pStyle w:val="BodyText"/>
      </w:pPr>
      <w:r>
        <w:t xml:space="preserve">В 2018 году работы проводились в доме инвалида 1 группы по Новосходненскому шоссе. По заявлению жителя осенью на выделенные из бюджета города Москвы финансовые средства были проведены ремонтные работы. В настоящее время ремонт проведен в полном объеме. От заявителя получена расписка об отсутствии претензий и согласием с проведенными работами.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http://molzhaninovskiy.mos.ru/towards-victory/detail/7748557.html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towards-victory/detail/7748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towards-victory/detail/7748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2025-05-13T11:27:26Z</dcterms:created>
  <dcterms:modified xsi:type="dcterms:W3CDTF">2025-05-13T11:27:26Z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